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6C71" w14:textId="77777777" w:rsidR="0046799F" w:rsidRDefault="0046799F" w:rsidP="0046799F">
      <w:pPr>
        <w:jc w:val="center"/>
        <w:rPr>
          <w:rFonts w:ascii="Times New Roman" w:eastAsia="Times New Roman" w:hAnsi="Times New Roman" w:cs="Times New Roman"/>
          <w:b/>
        </w:rPr>
      </w:pPr>
      <w:r w:rsidRPr="00604A72">
        <w:rPr>
          <w:rFonts w:ascii="Times New Roman" w:eastAsia="Times New Roman" w:hAnsi="Times New Roman" w:cs="Times New Roman"/>
          <w:b/>
        </w:rPr>
        <w:t>SIARAN PERS</w:t>
      </w:r>
    </w:p>
    <w:p w14:paraId="0BCD0A37" w14:textId="77777777" w:rsidR="0046799F" w:rsidRPr="00604A72" w:rsidRDefault="0046799F" w:rsidP="0046799F">
      <w:pPr>
        <w:jc w:val="center"/>
        <w:rPr>
          <w:rFonts w:ascii="Times New Roman" w:eastAsia="Times New Roman" w:hAnsi="Times New Roman" w:cs="Times New Roman"/>
          <w:b/>
        </w:rPr>
      </w:pPr>
    </w:p>
    <w:p w14:paraId="7F68E4B4" w14:textId="15ED672C" w:rsidR="0046799F" w:rsidRPr="0046799F" w:rsidRDefault="0046799F" w:rsidP="0046799F">
      <w:pPr>
        <w:jc w:val="center"/>
        <w:rPr>
          <w:b/>
        </w:rPr>
      </w:pPr>
      <w:proofErr w:type="spellStart"/>
      <w:r w:rsidRPr="00604A72">
        <w:rPr>
          <w:rFonts w:ascii="Times New Roman" w:eastAsia="Times New Roman" w:hAnsi="Times New Roman" w:cs="Times New Roman"/>
          <w:b/>
        </w:rPr>
        <w:t>Nomor</w:t>
      </w:r>
      <w:proofErr w:type="spellEnd"/>
      <w:r w:rsidRPr="00604A72">
        <w:rPr>
          <w:rFonts w:ascii="Times New Roman" w:eastAsia="Times New Roman" w:hAnsi="Times New Roman" w:cs="Times New Roman"/>
          <w:b/>
        </w:rPr>
        <w:t>: 58</w:t>
      </w:r>
      <w:r>
        <w:rPr>
          <w:rFonts w:ascii="Times New Roman" w:eastAsia="Times New Roman" w:hAnsi="Times New Roman" w:cs="Times New Roman"/>
          <w:b/>
        </w:rPr>
        <w:t>6</w:t>
      </w:r>
      <w:r w:rsidRPr="00604A72">
        <w:rPr>
          <w:rFonts w:ascii="Times New Roman" w:eastAsia="Times New Roman" w:hAnsi="Times New Roman" w:cs="Times New Roman"/>
          <w:b/>
        </w:rPr>
        <w:t>/UN3.23/MB/HM.01.03/2023</w:t>
      </w:r>
    </w:p>
    <w:p w14:paraId="7EF77ED2" w14:textId="77777777" w:rsidR="0046799F" w:rsidRDefault="0046799F">
      <w:pPr>
        <w:rPr>
          <w:rFonts w:ascii="Times New Roman" w:eastAsia="Times New Roman" w:hAnsi="Times New Roman" w:cs="Times New Roman"/>
          <w:b/>
        </w:rPr>
      </w:pPr>
    </w:p>
    <w:p w14:paraId="0001A76B" w14:textId="77777777" w:rsidR="0046799F" w:rsidRDefault="0046799F">
      <w:pPr>
        <w:rPr>
          <w:rFonts w:ascii="Times New Roman" w:eastAsia="Times New Roman" w:hAnsi="Times New Roman" w:cs="Times New Roman"/>
          <w:b/>
        </w:rPr>
      </w:pPr>
    </w:p>
    <w:p w14:paraId="00000001" w14:textId="77C948FA" w:rsidR="00425638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Pakar UNAIR </w:t>
      </w:r>
      <w:proofErr w:type="spellStart"/>
      <w:r>
        <w:rPr>
          <w:rFonts w:ascii="Times New Roman" w:eastAsia="Times New Roman" w:hAnsi="Times New Roman" w:cs="Times New Roman"/>
          <w:b/>
        </w:rPr>
        <w:t>Jelaskan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Landasan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Hukum </w:t>
      </w:r>
      <w:proofErr w:type="spellStart"/>
      <w:r>
        <w:rPr>
          <w:rFonts w:ascii="Times New Roman" w:eastAsia="Times New Roman" w:hAnsi="Times New Roman" w:cs="Times New Roman"/>
          <w:b/>
        </w:rPr>
        <w:t>Pidana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Bagi </w:t>
      </w:r>
      <w:proofErr w:type="spellStart"/>
      <w:r>
        <w:rPr>
          <w:rFonts w:ascii="Times New Roman" w:eastAsia="Times New Roman" w:hAnsi="Times New Roman" w:cs="Times New Roman"/>
          <w:b/>
        </w:rPr>
        <w:t>Pelaku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Doxing</w:t>
      </w:r>
    </w:p>
    <w:p w14:paraId="00000002" w14:textId="77777777" w:rsidR="00425638" w:rsidRDefault="00425638">
      <w:pPr>
        <w:rPr>
          <w:rFonts w:ascii="Times New Roman" w:eastAsia="Times New Roman" w:hAnsi="Times New Roman" w:cs="Times New Roman"/>
          <w:b/>
        </w:rPr>
      </w:pPr>
    </w:p>
    <w:p w14:paraId="00000003" w14:textId="77777777" w:rsidR="00425638" w:rsidRDefault="00000000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Maraknya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Kasus </w:t>
      </w:r>
      <w:proofErr w:type="spellStart"/>
      <w:r>
        <w:rPr>
          <w:rFonts w:ascii="Times New Roman" w:eastAsia="Times New Roman" w:hAnsi="Times New Roman" w:cs="Times New Roman"/>
          <w:b/>
        </w:rPr>
        <w:t>Penyebaran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b/>
        </w:rPr>
        <w:t>Pribadi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Pakar UNAIR </w:t>
      </w:r>
      <w:proofErr w:type="spellStart"/>
      <w:r>
        <w:rPr>
          <w:rFonts w:ascii="Times New Roman" w:eastAsia="Times New Roman" w:hAnsi="Times New Roman" w:cs="Times New Roman"/>
          <w:b/>
        </w:rPr>
        <w:t>Paparkan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Hukum </w:t>
      </w:r>
      <w:proofErr w:type="spellStart"/>
      <w:r>
        <w:rPr>
          <w:rFonts w:ascii="Times New Roman" w:eastAsia="Times New Roman" w:hAnsi="Times New Roman" w:cs="Times New Roman"/>
          <w:b/>
        </w:rPr>
        <w:t>Pidana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Bagi </w:t>
      </w:r>
      <w:proofErr w:type="spellStart"/>
      <w:r>
        <w:rPr>
          <w:rFonts w:ascii="Times New Roman" w:eastAsia="Times New Roman" w:hAnsi="Times New Roman" w:cs="Times New Roman"/>
          <w:b/>
        </w:rPr>
        <w:t>Pelaku</w:t>
      </w:r>
      <w:proofErr w:type="spellEnd"/>
    </w:p>
    <w:p w14:paraId="00000004" w14:textId="77777777" w:rsidR="00425638" w:rsidRDefault="00425638">
      <w:pPr>
        <w:rPr>
          <w:rFonts w:ascii="Times New Roman" w:eastAsia="Times New Roman" w:hAnsi="Times New Roman" w:cs="Times New Roman"/>
        </w:rPr>
      </w:pPr>
    </w:p>
    <w:p w14:paraId="00000005" w14:textId="35A2428A" w:rsidR="00425638" w:rsidRDefault="003C0797">
      <w:pPr>
        <w:rPr>
          <w:rFonts w:ascii="Times New Roman" w:eastAsia="Times New Roman" w:hAnsi="Times New Roman" w:cs="Times New Roman"/>
          <w:highlight w:val="white"/>
        </w:rPr>
      </w:pPr>
      <w:r w:rsidRPr="003C0797">
        <w:rPr>
          <w:rFonts w:ascii="Times New Roman" w:eastAsia="Times New Roman" w:hAnsi="Times New Roman" w:cs="Times New Roman"/>
          <w:b/>
          <w:bCs/>
        </w:rPr>
        <w:t>Surabaya, 24 November 2023</w:t>
      </w:r>
      <w:r w:rsidR="00BB0DCD">
        <w:rPr>
          <w:rFonts w:ascii="Times New Roman" w:eastAsia="Times New Roman" w:hAnsi="Times New Roman" w:cs="Times New Roman"/>
        </w:rPr>
        <w:t xml:space="preserve"> - </w:t>
      </w:r>
      <w:r w:rsidR="00000000">
        <w:rPr>
          <w:rFonts w:ascii="Times New Roman" w:eastAsia="Times New Roman" w:hAnsi="Times New Roman" w:cs="Times New Roman"/>
        </w:rPr>
        <w:t xml:space="preserve">Saat </w:t>
      </w:r>
      <w:proofErr w:type="spellStart"/>
      <w:r w:rsidR="00000000">
        <w:rPr>
          <w:rFonts w:ascii="Times New Roman" w:eastAsia="Times New Roman" w:hAnsi="Times New Roman" w:cs="Times New Roman"/>
        </w:rPr>
        <w:t>ini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r w:rsidR="00000000">
        <w:rPr>
          <w:rFonts w:ascii="Times New Roman" w:eastAsia="Times New Roman" w:hAnsi="Times New Roman" w:cs="Times New Roman"/>
          <w:i/>
        </w:rPr>
        <w:t xml:space="preserve">doxing </w:t>
      </w:r>
      <w:proofErr w:type="spellStart"/>
      <w:r w:rsidR="00000000">
        <w:rPr>
          <w:rFonts w:ascii="Times New Roman" w:eastAsia="Times New Roman" w:hAnsi="Times New Roman" w:cs="Times New Roman"/>
        </w:rPr>
        <w:t>menjadi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buah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bibir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000000">
        <w:rPr>
          <w:rFonts w:ascii="Times New Roman" w:eastAsia="Times New Roman" w:hAnsi="Times New Roman" w:cs="Times New Roman"/>
        </w:rPr>
        <w:t>kalangan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warganet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. </w:t>
      </w:r>
      <w:r w:rsidR="00000000">
        <w:rPr>
          <w:rFonts w:ascii="Times New Roman" w:eastAsia="Times New Roman" w:hAnsi="Times New Roman" w:cs="Times New Roman"/>
          <w:i/>
        </w:rPr>
        <w:t xml:space="preserve">Doxing </w:t>
      </w:r>
      <w:proofErr w:type="spellStart"/>
      <w:r w:rsidR="00000000">
        <w:rPr>
          <w:rFonts w:ascii="Times New Roman" w:eastAsia="Times New Roman" w:hAnsi="Times New Roman" w:cs="Times New Roman"/>
        </w:rPr>
        <w:t>merupakan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salah </w:t>
      </w:r>
      <w:proofErr w:type="spellStart"/>
      <w:r w:rsidR="00000000">
        <w:rPr>
          <w:rFonts w:ascii="Times New Roman" w:eastAsia="Times New Roman" w:hAnsi="Times New Roman" w:cs="Times New Roman"/>
        </w:rPr>
        <w:t>satu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tindakan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r w:rsidR="00000000">
        <w:rPr>
          <w:rFonts w:ascii="Times New Roman" w:eastAsia="Times New Roman" w:hAnsi="Times New Roman" w:cs="Times New Roman"/>
          <w:i/>
        </w:rPr>
        <w:t xml:space="preserve">cybercrime </w:t>
      </w:r>
      <w:r w:rsidR="00000000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000000">
        <w:rPr>
          <w:rFonts w:ascii="Times New Roman" w:eastAsia="Times New Roman" w:hAnsi="Times New Roman" w:cs="Times New Roman"/>
        </w:rPr>
        <w:t>marak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dilakukan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00000000">
        <w:rPr>
          <w:rFonts w:ascii="Times New Roman" w:eastAsia="Times New Roman" w:hAnsi="Times New Roman" w:cs="Times New Roman"/>
        </w:rPr>
        <w:t>oknum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tak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bertanggung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jawab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dalam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menyebarkan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informasi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pribadi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di internet </w:t>
      </w:r>
      <w:proofErr w:type="spellStart"/>
      <w:r w:rsidR="00000000">
        <w:rPr>
          <w:rFonts w:ascii="Times New Roman" w:eastAsia="Times New Roman" w:hAnsi="Times New Roman" w:cs="Times New Roman"/>
        </w:rPr>
        <w:t>tanpa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izin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000000">
        <w:rPr>
          <w:rFonts w:ascii="Times New Roman" w:eastAsia="Times New Roman" w:hAnsi="Times New Roman" w:cs="Times New Roman"/>
        </w:rPr>
        <w:t>merugikan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seseorang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000000">
        <w:rPr>
          <w:rFonts w:ascii="Times New Roman" w:eastAsia="Times New Roman" w:hAnsi="Times New Roman" w:cs="Times New Roman"/>
        </w:rPr>
        <w:t>Menanggapi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hal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</w:rPr>
        <w:t>tersebut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, Pakar Hukum </w:t>
      </w:r>
      <w:proofErr w:type="spellStart"/>
      <w:r w:rsidR="00000000">
        <w:rPr>
          <w:rFonts w:ascii="Times New Roman" w:eastAsia="Times New Roman" w:hAnsi="Times New Roman" w:cs="Times New Roman"/>
        </w:rPr>
        <w:t>Kriminal</w:t>
      </w:r>
      <w:proofErr w:type="spellEnd"/>
      <w:r w:rsidR="00000000">
        <w:rPr>
          <w:rFonts w:ascii="Times New Roman" w:eastAsia="Times New Roman" w:hAnsi="Times New Roman" w:cs="Times New Roman"/>
        </w:rPr>
        <w:t xml:space="preserve"> Universitas Airlangga (UNAIR), </w:t>
      </w:r>
      <w:r w:rsidR="00000000">
        <w:rPr>
          <w:rFonts w:ascii="Times New Roman" w:eastAsia="Times New Roman" w:hAnsi="Times New Roman" w:cs="Times New Roman"/>
          <w:highlight w:val="white"/>
        </w:rPr>
        <w:t xml:space="preserve">Dr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Toetik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Rahayuningsih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 xml:space="preserve"> SH M Hum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buka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suara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memaparkan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hukum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pidana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bagi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highlight w:val="white"/>
        </w:rPr>
        <w:t>pelaku</w:t>
      </w:r>
      <w:proofErr w:type="spellEnd"/>
      <w:r w:rsidR="00000000">
        <w:rPr>
          <w:rFonts w:ascii="Times New Roman" w:eastAsia="Times New Roman" w:hAnsi="Times New Roman" w:cs="Times New Roman"/>
          <w:highlight w:val="white"/>
        </w:rPr>
        <w:t>.</w:t>
      </w:r>
    </w:p>
    <w:p w14:paraId="00000006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07" w14:textId="77777777" w:rsidR="00425638" w:rsidRDefault="00000000">
      <w:pPr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Legislasi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Kasus </w:t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Doxing </w:t>
      </w:r>
    </w:p>
    <w:p w14:paraId="00000008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09" w14:textId="77777777" w:rsidR="00425638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Pakar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hukum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UNAIR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menilai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bahwa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tindakan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highlight w:val="white"/>
        </w:rPr>
        <w:t>doxing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didasari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niat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jahat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merendahkan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mempermalukan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atau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pelecehan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virtual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menyasar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individu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tertentu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guna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merusak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reputasi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individu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atau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terdekatnya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</w:t>
      </w:r>
    </w:p>
    <w:p w14:paraId="0000000A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0B" w14:textId="34718DFE" w:rsidR="00425638" w:rsidRDefault="00000000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“</w:t>
      </w:r>
      <w:r>
        <w:rPr>
          <w:rFonts w:ascii="Times New Roman" w:eastAsia="Times New Roman" w:hAnsi="Times New Roman" w:cs="Times New Roman"/>
          <w:i/>
          <w:highlight w:val="white"/>
        </w:rPr>
        <w:t>Doxing</w:t>
      </w:r>
      <w:r>
        <w:rPr>
          <w:rFonts w:ascii="Times New Roman" w:eastAsia="Times New Roman" w:hAnsi="Times New Roman" w:cs="Times New Roman"/>
          <w:highlight w:val="white"/>
        </w:rPr>
        <w:t xml:space="preserve"> t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ermasuk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kategori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cyber bullying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seringkali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berkaitan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penguntitan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atau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highlight w:val="white"/>
        </w:rPr>
        <w:t>stalking</w:t>
      </w:r>
      <w:r>
        <w:rPr>
          <w:rFonts w:ascii="Times New Roman" w:eastAsia="Times New Roman" w:hAnsi="Times New Roman" w:cs="Times New Roman"/>
          <w:highlight w:val="white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informasi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disebarkan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melalui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highlight w:val="white"/>
        </w:rPr>
        <w:t>doxing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sering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digunakan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konteks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dapat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menimbulkan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ketakutan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ketidaknyamanan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sehingga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meresahkan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individu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menjadi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target,”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tutur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pakar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hukum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UNAIR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</w:t>
      </w:r>
    </w:p>
    <w:p w14:paraId="0000000C" w14:textId="77777777" w:rsidR="00425638" w:rsidRDefault="004256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highlight w:val="white"/>
        </w:rPr>
      </w:pPr>
    </w:p>
    <w:p w14:paraId="0000000D" w14:textId="77777777" w:rsidR="0042563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melindungi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hak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privasi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warga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negara,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Toetik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menguraikan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peraturan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atau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kebijakan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dapat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menjadi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solusi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keresahan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warganet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</w:rPr>
        <w:t>“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Legislasi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terkait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doxing </w:t>
      </w:r>
      <w:proofErr w:type="spellStart"/>
      <w:proofErr w:type="gramStart"/>
      <w:r>
        <w:rPr>
          <w:rFonts w:ascii="Times New Roman" w:eastAsia="Times New Roman" w:hAnsi="Times New Roman" w:cs="Times New Roman"/>
          <w:highlight w:val="white"/>
        </w:rPr>
        <w:t>terdapat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UU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Nomor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2008  jo. UU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Nomor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2016 UU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Tentang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Informasi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Transaksi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Elektronik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(UU ITE) dan </w:t>
      </w:r>
      <w:proofErr w:type="spellStart"/>
      <w:proofErr w:type="gram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 UU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Nomor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Tentang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Pelindungan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Pribadi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(UU PDP),”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pungkasnya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wawancara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UNAIR News.</w:t>
      </w:r>
    </w:p>
    <w:p w14:paraId="0000000E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0F" w14:textId="77777777" w:rsidR="00425638" w:rsidRDefault="00000000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UU ITE</w:t>
      </w:r>
    </w:p>
    <w:p w14:paraId="00000010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13" w14:textId="350C6BC3" w:rsidR="00425638" w:rsidRDefault="00000000">
      <w:pPr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Toetik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menilai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bahwa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pelaku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doxing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dapat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dikenai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hukuman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berdasarkan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UU ITE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sebagaimana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tertuang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32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(2) jo,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48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(2),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32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(3) jo, dan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48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(3)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berisi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tentang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ancaman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pelaku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men-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transfer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atau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menyebarkan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informasi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elektronik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bersifat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rahasia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kepada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publik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  <w:r w:rsidR="00BB0DCD"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Selain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kedua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tersebut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para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pelaku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highlight w:val="white"/>
        </w:rPr>
        <w:t>doxing</w:t>
      </w:r>
      <w:r>
        <w:rPr>
          <w:rFonts w:ascii="Times New Roman" w:eastAsia="Times New Roman" w:hAnsi="Times New Roman" w:cs="Times New Roman"/>
          <w:highlight w:val="white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dijerat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hukuman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sesuai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tertera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(1) jo,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46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(1) UU ITE,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(2) jo,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46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2 UU ITE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tentang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akses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ilegal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terhadap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sistem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elektronik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milik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orang lain. </w:t>
      </w:r>
    </w:p>
    <w:p w14:paraId="00000014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15" w14:textId="77777777" w:rsidR="00425638" w:rsidRDefault="00000000">
      <w:pPr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lastRenderedPageBreak/>
        <w:t>Sedangkan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pelaku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atas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penerobosan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melampaui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atau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penjebolan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terhadap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sistem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pengamanan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komputer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dapat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dikenai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hukuman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tertuang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(3) jo,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46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(3) UU ITE,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(1) jo,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47 UU ITE.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Terakhir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mengutip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32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(1) jo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48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(1)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mengancam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hukuman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pidana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atas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kasus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serupa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</w:t>
      </w:r>
    </w:p>
    <w:p w14:paraId="00000016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17" w14:textId="77777777" w:rsidR="00425638" w:rsidRDefault="004256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00000018" w14:textId="77777777" w:rsidR="00425638" w:rsidRDefault="00425638">
      <w:pPr>
        <w:ind w:left="360"/>
        <w:rPr>
          <w:rFonts w:ascii="Times New Roman" w:eastAsia="Times New Roman" w:hAnsi="Times New Roman" w:cs="Times New Roman"/>
          <w:highlight w:val="white"/>
        </w:rPr>
      </w:pPr>
    </w:p>
    <w:p w14:paraId="5E47D87A" w14:textId="77777777" w:rsidR="00BB0DCD" w:rsidRDefault="00BB0DCD">
      <w:pPr>
        <w:rPr>
          <w:rFonts w:ascii="Times New Roman" w:eastAsia="Times New Roman" w:hAnsi="Times New Roman" w:cs="Times New Roman"/>
          <w:b/>
          <w:highlight w:val="white"/>
        </w:rPr>
      </w:pPr>
    </w:p>
    <w:p w14:paraId="00000019" w14:textId="388EEDDC" w:rsidR="00425638" w:rsidRDefault="00000000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UU PDP</w:t>
      </w:r>
    </w:p>
    <w:p w14:paraId="0000001A" w14:textId="77777777" w:rsidR="00425638" w:rsidRDefault="00425638">
      <w:pPr>
        <w:rPr>
          <w:rFonts w:ascii="Times New Roman" w:eastAsia="Times New Roman" w:hAnsi="Times New Roman" w:cs="Times New Roman"/>
          <w:b/>
          <w:highlight w:val="white"/>
        </w:rPr>
      </w:pPr>
    </w:p>
    <w:p w14:paraId="0000001B" w14:textId="77777777" w:rsidR="00425638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Tak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hanya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Toetik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menyoroti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sanksi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pidana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tertuang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UU No. 27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tentang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Pelindungan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Pribadi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(UU PDP)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diatur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ketentuan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67 dan 68.</w:t>
      </w:r>
    </w:p>
    <w:p w14:paraId="0000001C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425638" w:rsidRDefault="00000000">
      <w:pPr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Toetik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menyampaikan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bahwa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UU PDP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67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(1),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(2), dan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(3)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mengatur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tentang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jangka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waktu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pidana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denda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pelaku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sengaja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mengumpulkan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mengungkapkan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menggunakan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pribadi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bukan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miliknya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seperti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tertera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65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(1),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(2), dan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(3). </w:t>
      </w:r>
    </w:p>
    <w:p w14:paraId="0000001E" w14:textId="77777777" w:rsidR="00425638" w:rsidRDefault="00425638">
      <w:pPr>
        <w:rPr>
          <w:rFonts w:ascii="Times New Roman" w:eastAsia="Times New Roman" w:hAnsi="Times New Roman" w:cs="Times New Roman"/>
          <w:highlight w:val="white"/>
        </w:rPr>
      </w:pPr>
    </w:p>
    <w:p w14:paraId="0000001F" w14:textId="5AF9B7EF" w:rsidR="00425638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Lebih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lanjut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pakar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hukum</w:t>
      </w:r>
      <w:proofErr w:type="spellEnd"/>
      <w:r>
        <w:rPr>
          <w:rFonts w:ascii="Times New Roman" w:eastAsia="Times New Roman" w:hAnsi="Times New Roman" w:cs="Times New Roman"/>
        </w:rPr>
        <w:t xml:space="preserve"> UNAIR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menjelaskan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setiap</w:t>
      </w:r>
      <w:proofErr w:type="spellEnd"/>
      <w:r>
        <w:rPr>
          <w:rFonts w:ascii="Times New Roman" w:eastAsia="Times New Roman" w:hAnsi="Times New Roman" w:cs="Times New Roman"/>
        </w:rPr>
        <w:t xml:space="preserve"> orang yang </w:t>
      </w:r>
      <w:proofErr w:type="spellStart"/>
      <w:r>
        <w:rPr>
          <w:rFonts w:ascii="Times New Roman" w:eastAsia="Times New Roman" w:hAnsi="Times New Roman" w:cs="Times New Roman"/>
        </w:rPr>
        <w:t>memalsukan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pribadi</w:t>
      </w:r>
      <w:proofErr w:type="spellEnd"/>
      <w:r>
        <w:rPr>
          <w:rFonts w:ascii="Times New Roman" w:eastAsia="Times New Roman" w:hAnsi="Times New Roman" w:cs="Times New Roman"/>
        </w:rPr>
        <w:t xml:space="preserve"> demi </w:t>
      </w:r>
      <w:proofErr w:type="spellStart"/>
      <w:r>
        <w:rPr>
          <w:rFonts w:ascii="Times New Roman" w:eastAsia="Times New Roman" w:hAnsi="Times New Roman" w:cs="Times New Roman"/>
        </w:rPr>
        <w:t>keuntungan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sendiri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orang lain yang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mengakibatkan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kerugian</w:t>
      </w:r>
      <w:proofErr w:type="spellEnd"/>
      <w:r w:rsidR="00BB0D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0DC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ebagaimana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dimaksud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Pasal</w:t>
      </w:r>
      <w:proofErr w:type="spellEnd"/>
      <w:r>
        <w:rPr>
          <w:rFonts w:ascii="Times New Roman" w:eastAsia="Times New Roman" w:hAnsi="Times New Roman" w:cs="Times New Roman"/>
        </w:rPr>
        <w:t xml:space="preserve"> 66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dijerat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hukuman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sesuai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UU PDP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Pasal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68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pidana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penjara</w:t>
      </w:r>
      <w:proofErr w:type="spellEnd"/>
      <w:r>
        <w:rPr>
          <w:rFonts w:ascii="Times New Roman" w:eastAsia="Times New Roman" w:hAnsi="Times New Roman" w:cs="Times New Roman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</w:rPr>
        <w:t>tama</w:t>
      </w:r>
      <w:proofErr w:type="spellEnd"/>
      <w:r>
        <w:rPr>
          <w:rFonts w:ascii="Times New Roman" w:eastAsia="Times New Roman" w:hAnsi="Times New Roman" w:cs="Times New Roman"/>
        </w:rPr>
        <w:t xml:space="preserve"> 6 (</w:t>
      </w:r>
      <w:proofErr w:type="spellStart"/>
      <w:r>
        <w:rPr>
          <w:rFonts w:ascii="Times New Roman" w:eastAsia="Times New Roman" w:hAnsi="Times New Roman" w:cs="Times New Roman"/>
        </w:rPr>
        <w:t>enam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denda</w:t>
      </w:r>
      <w:proofErr w:type="spellEnd"/>
      <w:r>
        <w:rPr>
          <w:rFonts w:ascii="Times New Roman" w:eastAsia="Times New Roman" w:hAnsi="Times New Roman" w:cs="Times New Roman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milyar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0000020" w14:textId="77777777" w:rsidR="00425638" w:rsidRDefault="00425638">
      <w:pPr>
        <w:widowControl w:val="0"/>
        <w:ind w:left="709"/>
        <w:rPr>
          <w:rFonts w:ascii="Times New Roman" w:eastAsia="Times New Roman" w:hAnsi="Times New Roman" w:cs="Times New Roman"/>
        </w:rPr>
      </w:pPr>
    </w:p>
    <w:p w14:paraId="00000021" w14:textId="77777777" w:rsidR="00425638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highlight w:val="white"/>
        </w:rPr>
        <w:t xml:space="preserve">Ada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perbedaan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antara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delik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UU ITE dan UU PDP. Jika pada UU ITE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pendekatannya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adalah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perbuatan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dilakukan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secara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elektronik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sedangkan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UU PDP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dapat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berlaku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perbuatan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elektronik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maupun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elektronik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pakar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hukum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UNAIR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22" w14:textId="77777777" w:rsidR="00425638" w:rsidRDefault="00425638">
      <w:pPr>
        <w:rPr>
          <w:rFonts w:ascii="Times New Roman" w:eastAsia="Times New Roman" w:hAnsi="Times New Roman" w:cs="Times New Roman"/>
        </w:rPr>
      </w:pPr>
    </w:p>
    <w:p w14:paraId="00000023" w14:textId="391226DD" w:rsidR="00425638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Bagi para </w:t>
      </w:r>
      <w:proofErr w:type="spellStart"/>
      <w:r>
        <w:rPr>
          <w:rFonts w:ascii="Times New Roman" w:eastAsia="Times New Roman" w:hAnsi="Times New Roman" w:cs="Times New Roman"/>
        </w:rPr>
        <w:t>pelaku</w:t>
      </w:r>
      <w:proofErr w:type="spellEnd"/>
      <w:r>
        <w:rPr>
          <w:rFonts w:ascii="Times New Roman" w:eastAsia="Times New Roman" w:hAnsi="Times New Roman" w:cs="Times New Roman"/>
        </w:rPr>
        <w:t xml:space="preserve"> korban, </w:t>
      </w:r>
      <w:proofErr w:type="spellStart"/>
      <w:r>
        <w:rPr>
          <w:rFonts w:ascii="Times New Roman" w:eastAsia="Times New Roman" w:hAnsi="Times New Roman" w:cs="Times New Roman"/>
        </w:rPr>
        <w:t>Toetik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menyarankan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melapor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pihak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berwajib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bukti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korban dan </w:t>
      </w:r>
      <w:proofErr w:type="spellStart"/>
      <w:r>
        <w:rPr>
          <w:rFonts w:ascii="Times New Roman" w:eastAsia="Times New Roman" w:hAnsi="Times New Roman" w:cs="Times New Roman"/>
        </w:rPr>
        <w:t>serangan</w:t>
      </w:r>
      <w:proofErr w:type="spellEnd"/>
      <w:r>
        <w:rPr>
          <w:rFonts w:ascii="Times New Roman" w:eastAsia="Times New Roman" w:hAnsi="Times New Roman" w:cs="Times New Roman"/>
        </w:rPr>
        <w:t xml:space="preserve"> doxing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screenshot </w:t>
      </w:r>
      <w:proofErr w:type="spellStart"/>
      <w:r>
        <w:rPr>
          <w:rFonts w:ascii="Times New Roman" w:eastAsia="Times New Roman" w:hAnsi="Times New Roman" w:cs="Times New Roman"/>
        </w:rPr>
        <w:t>bukti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tindakan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pelaku</w:t>
      </w:r>
      <w:proofErr w:type="spellEnd"/>
      <w:r>
        <w:rPr>
          <w:rFonts w:ascii="Times New Roman" w:eastAsia="Times New Roman" w:hAnsi="Times New Roman" w:cs="Times New Roman"/>
        </w:rPr>
        <w:t xml:space="preserve">. Selain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baginya</w:t>
      </w:r>
      <w:proofErr w:type="spellEnd"/>
      <w:r>
        <w:rPr>
          <w:rFonts w:ascii="Times New Roman" w:eastAsia="Times New Roman" w:hAnsi="Times New Roman" w:cs="Times New Roman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</w:rPr>
        <w:t>penting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melindungi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akun</w:t>
      </w:r>
      <w:proofErr w:type="spellEnd"/>
      <w:r>
        <w:rPr>
          <w:rFonts w:ascii="Times New Roman" w:eastAsia="Times New Roman" w:hAnsi="Times New Roman" w:cs="Times New Roman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pribadi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mengganti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password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24" w14:textId="77777777" w:rsidR="00425638" w:rsidRDefault="00425638">
      <w:pPr>
        <w:rPr>
          <w:rFonts w:ascii="Times New Roman" w:eastAsia="Times New Roman" w:hAnsi="Times New Roman" w:cs="Times New Roman"/>
        </w:rPr>
      </w:pPr>
    </w:p>
    <w:p w14:paraId="0000002B" w14:textId="733A6D84" w:rsidR="00425638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Sedangkan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melindungi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rekening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pribadi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langsungnya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menghubungi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pihak</w:t>
      </w:r>
      <w:proofErr w:type="spellEnd"/>
      <w:r>
        <w:rPr>
          <w:rFonts w:ascii="Times New Roman" w:eastAsia="Times New Roman" w:hAnsi="Times New Roman" w:cs="Times New Roman"/>
        </w:rPr>
        <w:t xml:space="preserve"> bank dan </w:t>
      </w:r>
      <w:proofErr w:type="spellStart"/>
      <w:r>
        <w:rPr>
          <w:rFonts w:ascii="Times New Roman" w:eastAsia="Times New Roman" w:hAnsi="Times New Roman" w:cs="Times New Roman"/>
        </w:rPr>
        <w:t>meminta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memblokir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rekening</w:t>
      </w:r>
      <w:proofErr w:type="spellEnd"/>
      <w:r>
        <w:rPr>
          <w:rFonts w:ascii="Times New Roman" w:eastAsia="Times New Roman" w:hAnsi="Times New Roman" w:cs="Times New Roman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</w:rPr>
        <w:t>lebih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terhindar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kejahatan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diinginkan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3C0797">
        <w:rPr>
          <w:rFonts w:ascii="Times New Roman" w:eastAsia="Times New Roman" w:hAnsi="Times New Roman" w:cs="Times New Roman"/>
        </w:rPr>
        <w:t>(</w:t>
      </w:r>
      <w:proofErr w:type="gramEnd"/>
      <w:r w:rsidR="003C0797">
        <w:rPr>
          <w:rFonts w:ascii="Times New Roman" w:eastAsia="Times New Roman" w:hAnsi="Times New Roman" w:cs="Times New Roman"/>
        </w:rPr>
        <w:t>*)</w:t>
      </w:r>
    </w:p>
    <w:sectPr w:rsidR="00425638">
      <w:headerReference w:type="default" r:id="rId6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92D3" w14:textId="77777777" w:rsidR="00DA22A3" w:rsidRDefault="00DA22A3" w:rsidP="0046799F">
      <w:r>
        <w:separator/>
      </w:r>
    </w:p>
  </w:endnote>
  <w:endnote w:type="continuationSeparator" w:id="0">
    <w:p w14:paraId="7E54B28B" w14:textId="77777777" w:rsidR="00DA22A3" w:rsidRDefault="00DA22A3" w:rsidP="0046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2C7C" w14:textId="77777777" w:rsidR="00DA22A3" w:rsidRDefault="00DA22A3" w:rsidP="0046799F">
      <w:r>
        <w:separator/>
      </w:r>
    </w:p>
  </w:footnote>
  <w:footnote w:type="continuationSeparator" w:id="0">
    <w:p w14:paraId="50D5750D" w14:textId="77777777" w:rsidR="00DA22A3" w:rsidRDefault="00DA22A3" w:rsidP="0046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9ED2" w14:textId="1E897855" w:rsidR="0046799F" w:rsidRDefault="0046799F">
    <w:pPr>
      <w:pStyle w:val="Header"/>
    </w:pPr>
    <w:r>
      <w:rPr>
        <w:noProof/>
      </w:rPr>
      <w:drawing>
        <wp:inline distT="0" distB="0" distL="0" distR="0" wp14:anchorId="1ADA1A1E" wp14:editId="3C289E15">
          <wp:extent cx="5041265" cy="1062877"/>
          <wp:effectExtent l="0" t="0" r="698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1062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38"/>
    <w:rsid w:val="003C0797"/>
    <w:rsid w:val="00425638"/>
    <w:rsid w:val="0046799F"/>
    <w:rsid w:val="00BB0DCD"/>
    <w:rsid w:val="00D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727F"/>
  <w15:docId w15:val="{DDD02255-3D1F-42D6-85FD-4F61618E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67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9F"/>
  </w:style>
  <w:style w:type="paragraph" w:styleId="Footer">
    <w:name w:val="footer"/>
    <w:basedOn w:val="Normal"/>
    <w:link w:val="FooterChar"/>
    <w:uiPriority w:val="99"/>
    <w:unhideWhenUsed/>
    <w:rsid w:val="00467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3</cp:revision>
  <dcterms:created xsi:type="dcterms:W3CDTF">2023-11-24T02:37:00Z</dcterms:created>
  <dcterms:modified xsi:type="dcterms:W3CDTF">2023-11-24T02:41:00Z</dcterms:modified>
</cp:coreProperties>
</file>