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2DA30" w14:textId="77777777" w:rsidR="00AA789F" w:rsidRDefault="00AA789F" w:rsidP="00AA789F">
      <w:pPr>
        <w:spacing w:before="240" w:after="240"/>
        <w:jc w:val="center"/>
        <w:rPr>
          <w:b/>
          <w:highlight w:val="white"/>
        </w:rPr>
      </w:pPr>
    </w:p>
    <w:p w14:paraId="3C4EA132" w14:textId="2CD2931F" w:rsidR="00AA789F" w:rsidRDefault="00AA789F" w:rsidP="00AA789F">
      <w:pPr>
        <w:spacing w:before="240" w:after="240"/>
        <w:jc w:val="center"/>
        <w:rPr>
          <w:b/>
          <w:highlight w:val="white"/>
        </w:rPr>
      </w:pPr>
      <w:r>
        <w:rPr>
          <w:b/>
          <w:highlight w:val="white"/>
        </w:rPr>
        <w:t xml:space="preserve">SIARAN PERS </w:t>
      </w:r>
    </w:p>
    <w:p w14:paraId="2F8AD022" w14:textId="77777777" w:rsidR="00AA789F" w:rsidRDefault="00AA789F" w:rsidP="00AA789F">
      <w:pPr>
        <w:spacing w:before="240" w:after="240"/>
        <w:jc w:val="center"/>
        <w:rPr>
          <w:b/>
          <w:highlight w:val="white"/>
        </w:rPr>
      </w:pPr>
      <w:r>
        <w:rPr>
          <w:b/>
          <w:highlight w:val="white"/>
        </w:rPr>
        <w:t xml:space="preserve"> </w:t>
      </w:r>
    </w:p>
    <w:p w14:paraId="7B5F8170" w14:textId="7FBECF70" w:rsidR="00AA789F" w:rsidRDefault="00AA789F" w:rsidP="00AA789F">
      <w:pPr>
        <w:spacing w:before="240" w:after="240"/>
        <w:jc w:val="center"/>
        <w:rPr>
          <w:b/>
        </w:rPr>
      </w:pPr>
      <w:r>
        <w:rPr>
          <w:b/>
          <w:highlight w:val="white"/>
        </w:rPr>
        <w:t>01</w:t>
      </w:r>
      <w:r>
        <w:rPr>
          <w:b/>
          <w:highlight w:val="white"/>
        </w:rPr>
        <w:t>8</w:t>
      </w:r>
      <w:r>
        <w:rPr>
          <w:b/>
          <w:highlight w:val="white"/>
        </w:rPr>
        <w:t>/UN3.SIPERS/HM.01.03/2025</w:t>
      </w:r>
    </w:p>
    <w:p w14:paraId="07423BBE" w14:textId="77777777" w:rsidR="00AA789F" w:rsidRDefault="00AA789F" w:rsidP="00AA789F">
      <w:pPr>
        <w:spacing w:before="240" w:after="240"/>
        <w:jc w:val="both"/>
        <w:rPr>
          <w:rFonts w:ascii="Book Antiqua" w:eastAsia="Book Antiqua" w:hAnsi="Book Antiqua" w:cs="Book Antiqua"/>
          <w:b/>
          <w:sz w:val="24"/>
          <w:szCs w:val="24"/>
        </w:rPr>
      </w:pPr>
    </w:p>
    <w:p w14:paraId="00000002" w14:textId="2CB06C94" w:rsidR="007C187D" w:rsidRDefault="00000000" w:rsidP="00AA789F">
      <w:pPr>
        <w:spacing w:before="240" w:after="240"/>
        <w:jc w:val="both"/>
        <w:rPr>
          <w:rFonts w:ascii="Book Antiqua" w:eastAsia="Book Antiqua" w:hAnsi="Book Antiqua" w:cs="Book Antiqua"/>
          <w:b/>
          <w:sz w:val="24"/>
          <w:szCs w:val="24"/>
        </w:rPr>
      </w:pPr>
      <w:r>
        <w:rPr>
          <w:rFonts w:ascii="Book Antiqua" w:eastAsia="Book Antiqua" w:hAnsi="Book Antiqua" w:cs="Book Antiqua"/>
          <w:b/>
          <w:sz w:val="24"/>
          <w:szCs w:val="24"/>
        </w:rPr>
        <w:t xml:space="preserve">Pakar Hukum UNAIR Soroti Penggunaan Dana Pribadi Presiden dalam Program Makan Bergizi Gratis </w:t>
      </w:r>
    </w:p>
    <w:p w14:paraId="00000003" w14:textId="77777777" w:rsidR="007C187D" w:rsidRDefault="00000000" w:rsidP="00AA789F">
      <w:pPr>
        <w:spacing w:before="240" w:after="240"/>
        <w:jc w:val="both"/>
        <w:rPr>
          <w:rFonts w:ascii="Book Antiqua" w:eastAsia="Book Antiqua" w:hAnsi="Book Antiqua" w:cs="Book Antiqua"/>
          <w:sz w:val="24"/>
          <w:szCs w:val="24"/>
        </w:rPr>
      </w:pPr>
      <w:r>
        <w:rPr>
          <w:rFonts w:ascii="Book Antiqua" w:eastAsia="Book Antiqua" w:hAnsi="Book Antiqua" w:cs="Book Antiqua"/>
          <w:b/>
          <w:sz w:val="24"/>
          <w:szCs w:val="24"/>
        </w:rPr>
        <w:t xml:space="preserve">Surabaya, 13 Januari 2025 </w:t>
      </w:r>
      <w:r>
        <w:rPr>
          <w:rFonts w:ascii="Book Antiqua" w:eastAsia="Book Antiqua" w:hAnsi="Book Antiqua" w:cs="Book Antiqua"/>
          <w:sz w:val="24"/>
          <w:szCs w:val="24"/>
        </w:rPr>
        <w:t xml:space="preserve">– Program makan bergizi gratis (MBG) yang menjadi inisiatif Presiden Prabowo menarik perhatian publik. Di tengah aksi tersebut, laporan bahwa kegiatan ini sebagian masih menggunakan dana pribadi presiden, seperti yang terjadi di Kendari, memantik tanggapan kritis dari pakar hukum </w:t>
      </w:r>
      <w:hyperlink r:id="rId6">
        <w:r>
          <w:rPr>
            <w:rFonts w:ascii="Book Antiqua" w:eastAsia="Book Antiqua" w:hAnsi="Book Antiqua" w:cs="Book Antiqua"/>
            <w:color w:val="1155CC"/>
            <w:sz w:val="24"/>
            <w:szCs w:val="24"/>
            <w:u w:val="single"/>
          </w:rPr>
          <w:t>Fakultas Hukum Universitas Airlangga</w:t>
        </w:r>
      </w:hyperlink>
      <w:r>
        <w:rPr>
          <w:rFonts w:ascii="Book Antiqua" w:eastAsia="Book Antiqua" w:hAnsi="Book Antiqua" w:cs="Book Antiqua"/>
        </w:rPr>
        <w:t xml:space="preserve"> </w:t>
      </w:r>
      <w:hyperlink r:id="rId7">
        <w:r>
          <w:rPr>
            <w:rFonts w:ascii="Book Antiqua" w:eastAsia="Book Antiqua" w:hAnsi="Book Antiqua" w:cs="Book Antiqua"/>
            <w:color w:val="1155CC"/>
            <w:sz w:val="24"/>
            <w:szCs w:val="24"/>
            <w:u w:val="single"/>
          </w:rPr>
          <w:t>(UNAIR) Dr M Syaiful Aris</w:t>
        </w:r>
      </w:hyperlink>
      <w:r>
        <w:rPr>
          <w:rFonts w:ascii="Book Antiqua" w:eastAsia="Book Antiqua" w:hAnsi="Book Antiqua" w:cs="Book Antiqua"/>
          <w:sz w:val="24"/>
          <w:szCs w:val="24"/>
        </w:rPr>
        <w:t xml:space="preserve">. </w:t>
      </w:r>
    </w:p>
    <w:p w14:paraId="00000004" w14:textId="543C4999" w:rsidR="007C187D" w:rsidRDefault="00000000" w:rsidP="00AA789F">
      <w:pPr>
        <w:spacing w:before="240" w:after="240"/>
        <w:jc w:val="both"/>
        <w:rPr>
          <w:rFonts w:ascii="Book Antiqua" w:eastAsia="Book Antiqua" w:hAnsi="Book Antiqua" w:cs="Book Antiqua"/>
          <w:b/>
          <w:sz w:val="24"/>
          <w:szCs w:val="24"/>
        </w:rPr>
      </w:pPr>
      <w:r>
        <w:rPr>
          <w:rFonts w:ascii="Book Antiqua" w:eastAsia="Book Antiqua" w:hAnsi="Book Antiqua" w:cs="Book Antiqua"/>
          <w:b/>
          <w:sz w:val="24"/>
          <w:szCs w:val="24"/>
        </w:rPr>
        <w:t>Baik, Namun Kurang Tepat</w:t>
      </w:r>
    </w:p>
    <w:p w14:paraId="00000005" w14:textId="77777777" w:rsidR="007C187D" w:rsidRDefault="00000000" w:rsidP="00AA789F">
      <w:pPr>
        <w:spacing w:before="240" w:after="240"/>
        <w:jc w:val="both"/>
        <w:rPr>
          <w:rFonts w:ascii="Book Antiqua" w:eastAsia="Book Antiqua" w:hAnsi="Book Antiqua" w:cs="Book Antiqua"/>
          <w:sz w:val="24"/>
          <w:szCs w:val="24"/>
        </w:rPr>
      </w:pPr>
      <w:r>
        <w:rPr>
          <w:rFonts w:ascii="Book Antiqua" w:eastAsia="Book Antiqua" w:hAnsi="Book Antiqua" w:cs="Book Antiqua"/>
          <w:sz w:val="24"/>
          <w:szCs w:val="24"/>
        </w:rPr>
        <w:t>Dosen yang akrab disapa Syaiful itu menilai bahwa inisiatif untuk memberikan makan siang gratis kepada masyarakat, terutama siswa, merupakan langkah positif yang sejalan dengan janji kampanye presiden. Namun, dari perspektif hukum, penggunaan dana pribadi dalam program pemerintah kurang tepat.</w:t>
      </w:r>
    </w:p>
    <w:p w14:paraId="00000006" w14:textId="77777777" w:rsidR="007C187D" w:rsidRDefault="00000000" w:rsidP="00AA789F">
      <w:pPr>
        <w:spacing w:before="240" w:after="240"/>
        <w:jc w:val="both"/>
        <w:rPr>
          <w:rFonts w:ascii="Book Antiqua" w:eastAsia="Book Antiqua" w:hAnsi="Book Antiqua" w:cs="Book Antiqua"/>
          <w:sz w:val="24"/>
          <w:szCs w:val="24"/>
        </w:rPr>
      </w:pPr>
      <w:r>
        <w:rPr>
          <w:rFonts w:ascii="Book Antiqua" w:eastAsia="Book Antiqua" w:hAnsi="Book Antiqua" w:cs="Book Antiqua"/>
          <w:sz w:val="24"/>
          <w:szCs w:val="24"/>
        </w:rPr>
        <w:t>“Pengeluaran negara seharusnya bersumber dari kas negara sebagaimana diatur dalam Pasal 1 ayat (10) UU Nomor 17 Tahun 2003 tentang Keuangan Negara. Meskipun tindakan ini tidak menimbulkan kerugian bagi keuangan negara, hal tersebut tidak mencerminkan prinsip pengelolaan keuangan negara yang tertib dan sesuai aturan,” jelasnya.</w:t>
      </w:r>
    </w:p>
    <w:p w14:paraId="00000007" w14:textId="27E04D2C" w:rsidR="007C187D" w:rsidRDefault="00000000" w:rsidP="00AA789F">
      <w:pPr>
        <w:spacing w:before="240" w:after="240"/>
        <w:jc w:val="both"/>
        <w:rPr>
          <w:rFonts w:ascii="Book Antiqua" w:eastAsia="Book Antiqua" w:hAnsi="Book Antiqua" w:cs="Book Antiqua"/>
          <w:sz w:val="24"/>
          <w:szCs w:val="24"/>
        </w:rPr>
      </w:pPr>
      <w:r>
        <w:rPr>
          <w:rFonts w:ascii="Book Antiqua" w:eastAsia="Book Antiqua" w:hAnsi="Book Antiqua" w:cs="Book Antiqua"/>
          <w:b/>
          <w:sz w:val="24"/>
          <w:szCs w:val="24"/>
        </w:rPr>
        <w:t>Potensi Pelanggaran dan Konflik Kepentingan</w:t>
      </w:r>
    </w:p>
    <w:p w14:paraId="00000008" w14:textId="77777777" w:rsidR="007C187D" w:rsidRDefault="00000000" w:rsidP="00AA789F">
      <w:pPr>
        <w:spacing w:before="240" w:after="240"/>
        <w:jc w:val="both"/>
        <w:rPr>
          <w:rFonts w:ascii="Book Antiqua" w:eastAsia="Book Antiqua" w:hAnsi="Book Antiqua" w:cs="Book Antiqua"/>
          <w:sz w:val="24"/>
          <w:szCs w:val="24"/>
        </w:rPr>
      </w:pPr>
      <w:r>
        <w:rPr>
          <w:rFonts w:ascii="Book Antiqua" w:eastAsia="Book Antiqua" w:hAnsi="Book Antiqua" w:cs="Book Antiqua"/>
          <w:sz w:val="24"/>
          <w:szCs w:val="24"/>
        </w:rPr>
        <w:t>Menggunakan dana pribadi dalam pelaksanaan program pemerintah berpotensi melanggar prinsip tata kelola keuangan negara sebagaimana diatur dalam Pasal 3 UU 17 tahun 2003, yang mengharuskan pengelolaan keuangan negara dilakukan secara efisien, transparan, dan bertanggung jawab.</w:t>
      </w:r>
    </w:p>
    <w:p w14:paraId="00000009" w14:textId="77777777" w:rsidR="007C187D" w:rsidRDefault="00000000" w:rsidP="00AA789F">
      <w:pPr>
        <w:spacing w:before="240" w:after="240"/>
        <w:jc w:val="both"/>
        <w:rPr>
          <w:rFonts w:ascii="Book Antiqua" w:eastAsia="Book Antiqua" w:hAnsi="Book Antiqua" w:cs="Book Antiqua"/>
          <w:sz w:val="24"/>
          <w:szCs w:val="24"/>
        </w:rPr>
      </w:pPr>
      <w:r>
        <w:rPr>
          <w:rFonts w:ascii="Book Antiqua" w:eastAsia="Book Antiqua" w:hAnsi="Book Antiqua" w:cs="Book Antiqua"/>
          <w:sz w:val="24"/>
          <w:szCs w:val="24"/>
        </w:rPr>
        <w:t xml:space="preserve">Ia juga menyoroti potensi konflik kepentingan. “Ada potensi konflik kepentingan dalam tindakan ini. Penggunaan dana pribadi oleh pejabat negara, apalagi dalam </w:t>
      </w:r>
      <w:r>
        <w:rPr>
          <w:rFonts w:ascii="Book Antiqua" w:eastAsia="Book Antiqua" w:hAnsi="Book Antiqua" w:cs="Book Antiqua"/>
          <w:sz w:val="24"/>
          <w:szCs w:val="24"/>
        </w:rPr>
        <w:lastRenderedPageBreak/>
        <w:t>konteks program publik, dapat menciptakan kesan manipulasi untuk membangun citra politik. Idealnya, potensi konflik ini dicegah sejak awal untuk menghindari penyalahgunaan kewenangan di masa depan,” ujarnya.</w:t>
      </w:r>
    </w:p>
    <w:p w14:paraId="0000000A" w14:textId="62FD5B9C" w:rsidR="007C187D" w:rsidRDefault="00000000" w:rsidP="00AA789F">
      <w:pPr>
        <w:spacing w:before="240" w:after="240"/>
        <w:jc w:val="both"/>
        <w:rPr>
          <w:rFonts w:ascii="Book Antiqua" w:eastAsia="Book Antiqua" w:hAnsi="Book Antiqua" w:cs="Book Antiqua"/>
          <w:b/>
          <w:sz w:val="24"/>
          <w:szCs w:val="24"/>
        </w:rPr>
      </w:pPr>
      <w:r>
        <w:rPr>
          <w:rFonts w:ascii="Book Antiqua" w:eastAsia="Book Antiqua" w:hAnsi="Book Antiqua" w:cs="Book Antiqua"/>
          <w:b/>
          <w:sz w:val="24"/>
          <w:szCs w:val="24"/>
        </w:rPr>
        <w:t>Ketidakseimbangan Birokrasi</w:t>
      </w:r>
    </w:p>
    <w:p w14:paraId="0000000B" w14:textId="77777777" w:rsidR="007C187D" w:rsidRDefault="00000000" w:rsidP="00AA789F">
      <w:pPr>
        <w:spacing w:before="240" w:after="240"/>
        <w:jc w:val="both"/>
        <w:rPr>
          <w:rFonts w:ascii="Book Antiqua" w:eastAsia="Book Antiqua" w:hAnsi="Book Antiqua" w:cs="Book Antiqua"/>
          <w:sz w:val="24"/>
          <w:szCs w:val="24"/>
        </w:rPr>
      </w:pPr>
      <w:r>
        <w:rPr>
          <w:rFonts w:ascii="Book Antiqua" w:eastAsia="Book Antiqua" w:hAnsi="Book Antiqua" w:cs="Book Antiqua"/>
          <w:sz w:val="24"/>
          <w:szCs w:val="24"/>
        </w:rPr>
        <w:t xml:space="preserve">Lebih lanjut, ia menjelaskan bahwa langkah tersebut dapat menciptakan ketidakseimbangan dalam sistem birokrasi. Berdasarkan Pasal 7 UU 17/2003, penyelenggaraan fungsi pemerintahan harus melalui mekanisme APBN yang disetujui DPR sebagai wakil rakyat. Sistem </w:t>
      </w:r>
      <w:r>
        <w:rPr>
          <w:rFonts w:ascii="Book Antiqua" w:eastAsia="Book Antiqua" w:hAnsi="Book Antiqua" w:cs="Book Antiqua"/>
          <w:i/>
          <w:sz w:val="24"/>
          <w:szCs w:val="24"/>
        </w:rPr>
        <w:t>check and balance</w:t>
      </w:r>
      <w:r>
        <w:rPr>
          <w:rFonts w:ascii="Book Antiqua" w:eastAsia="Book Antiqua" w:hAnsi="Book Antiqua" w:cs="Book Antiqua"/>
          <w:sz w:val="24"/>
          <w:szCs w:val="24"/>
        </w:rPr>
        <w:t xml:space="preserve"> dalam penyusunan anggaran adalah bagian esensial untuk memastikan akuntabilitas dan mencegah penyimpangan.</w:t>
      </w:r>
    </w:p>
    <w:p w14:paraId="0000000C" w14:textId="77777777" w:rsidR="007C187D" w:rsidRDefault="00000000" w:rsidP="00AA789F">
      <w:pPr>
        <w:spacing w:before="240" w:after="240"/>
        <w:jc w:val="both"/>
        <w:rPr>
          <w:rFonts w:ascii="Book Antiqua" w:eastAsia="Book Antiqua" w:hAnsi="Book Antiqua" w:cs="Book Antiqua"/>
          <w:sz w:val="24"/>
          <w:szCs w:val="24"/>
        </w:rPr>
      </w:pPr>
      <w:r>
        <w:rPr>
          <w:rFonts w:ascii="Book Antiqua" w:eastAsia="Book Antiqua" w:hAnsi="Book Antiqua" w:cs="Book Antiqua"/>
          <w:b/>
          <w:sz w:val="24"/>
          <w:szCs w:val="24"/>
        </w:rPr>
        <w:br/>
      </w:r>
      <w:r>
        <w:rPr>
          <w:rFonts w:ascii="Book Antiqua" w:eastAsia="Book Antiqua" w:hAnsi="Book Antiqua" w:cs="Book Antiqua"/>
          <w:sz w:val="24"/>
          <w:szCs w:val="24"/>
        </w:rPr>
        <w:t>Menurutnya, langkah terbaik yang dapat dilakukan pemerintah adalah memastikan pelaksanaan program MBG ini sepenuhnya dibiayai oleh anggaran negara melalui APBN yang transparan dan akuntabel. Hal ini tidak hanya mencegah potensi pelanggaran hukum tetapi juga menjaga kepercayaan masyarakat terhadap integritas pemerintah.</w:t>
      </w:r>
    </w:p>
    <w:p w14:paraId="0000000D" w14:textId="77777777" w:rsidR="007C187D" w:rsidRDefault="00000000" w:rsidP="00AA789F">
      <w:pPr>
        <w:spacing w:before="240" w:after="240"/>
        <w:jc w:val="both"/>
        <w:rPr>
          <w:rFonts w:ascii="Book Antiqua" w:eastAsia="Book Antiqua" w:hAnsi="Book Antiqua" w:cs="Book Antiqua"/>
          <w:sz w:val="24"/>
          <w:szCs w:val="24"/>
        </w:rPr>
      </w:pPr>
      <w:r>
        <w:rPr>
          <w:rFonts w:ascii="Book Antiqua" w:eastAsia="Book Antiqua" w:hAnsi="Book Antiqua" w:cs="Book Antiqua"/>
          <w:sz w:val="24"/>
          <w:szCs w:val="24"/>
        </w:rPr>
        <w:t>“Program ini sangat baik dan perlu mendapat dukungan penuh dari masyarakat. Namun, pelaksanaannya harus sesuai dengan peraturan perundang-undangan dan mekanisme kontrol yang ketat untuk mencegah penyimpangan yang dapat merugikan keuangan negara,” pungkasnya.(*)</w:t>
      </w:r>
    </w:p>
    <w:p w14:paraId="0000000E" w14:textId="77777777" w:rsidR="007C187D" w:rsidRDefault="007C187D">
      <w:pPr>
        <w:spacing w:before="240" w:after="240"/>
        <w:rPr>
          <w:rFonts w:ascii="Book Antiqua" w:eastAsia="Book Antiqua" w:hAnsi="Book Antiqua" w:cs="Book Antiqua"/>
          <w:sz w:val="24"/>
          <w:szCs w:val="24"/>
        </w:rPr>
      </w:pPr>
    </w:p>
    <w:sectPr w:rsidR="007C187D">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66631" w14:textId="77777777" w:rsidR="00676608" w:rsidRDefault="00676608" w:rsidP="00AA789F">
      <w:pPr>
        <w:spacing w:line="240" w:lineRule="auto"/>
      </w:pPr>
      <w:r>
        <w:separator/>
      </w:r>
    </w:p>
  </w:endnote>
  <w:endnote w:type="continuationSeparator" w:id="0">
    <w:p w14:paraId="540DCCE8" w14:textId="77777777" w:rsidR="00676608" w:rsidRDefault="00676608" w:rsidP="00AA78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1" w:fontKey="{4B7B196E-AF66-4B62-AD12-B350436A9326}"/>
    <w:embedBold r:id="rId2" w:fontKey="{A67570A6-D7BA-433B-B878-3CE094300FD0}"/>
    <w:embedItalic r:id="rId3" w:fontKey="{5364FD25-370C-43A1-A840-B43AB21D976A}"/>
  </w:font>
  <w:font w:name="Calibri">
    <w:panose1 w:val="020F0502020204030204"/>
    <w:charset w:val="00"/>
    <w:family w:val="swiss"/>
    <w:pitch w:val="variable"/>
    <w:sig w:usb0="E4002EFF" w:usb1="C000247B" w:usb2="00000009" w:usb3="00000000" w:csb0="000001FF" w:csb1="00000000"/>
    <w:embedRegular r:id="rId4" w:fontKey="{49368F88-4043-4255-937C-8F4A71BE2B93}"/>
  </w:font>
  <w:font w:name="Cambria">
    <w:panose1 w:val="02040503050406030204"/>
    <w:charset w:val="00"/>
    <w:family w:val="roman"/>
    <w:pitch w:val="variable"/>
    <w:sig w:usb0="E00006FF" w:usb1="420024FF" w:usb2="02000000" w:usb3="00000000" w:csb0="0000019F" w:csb1="00000000"/>
    <w:embedRegular r:id="rId5" w:fontKey="{C8B73EDE-4A03-4374-A3BF-519554E4DA8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9D0EE" w14:textId="77777777" w:rsidR="00676608" w:rsidRDefault="00676608" w:rsidP="00AA789F">
      <w:pPr>
        <w:spacing w:line="240" w:lineRule="auto"/>
      </w:pPr>
      <w:r>
        <w:separator/>
      </w:r>
    </w:p>
  </w:footnote>
  <w:footnote w:type="continuationSeparator" w:id="0">
    <w:p w14:paraId="22000A53" w14:textId="77777777" w:rsidR="00676608" w:rsidRDefault="00676608" w:rsidP="00AA78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9374B" w14:textId="3A49108A" w:rsidR="00AA789F" w:rsidRDefault="00AA789F">
    <w:pPr>
      <w:pStyle w:val="Header"/>
    </w:pPr>
    <w:r>
      <w:rPr>
        <w:noProof/>
      </w:rPr>
      <w:drawing>
        <wp:inline distT="114300" distB="114300" distL="114300" distR="114300" wp14:anchorId="200C54E7" wp14:editId="1421E26F">
          <wp:extent cx="5400000" cy="1143000"/>
          <wp:effectExtent l="0" t="0" r="0" b="0"/>
          <wp:docPr id="1"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black text on a white background&#10;&#10;Description automatically generated"/>
                  <pic:cNvPicPr preferRelativeResize="0"/>
                </pic:nvPicPr>
                <pic:blipFill>
                  <a:blip r:embed="rId1"/>
                  <a:srcRect/>
                  <a:stretch>
                    <a:fillRect/>
                  </a:stretch>
                </pic:blipFill>
                <pic:spPr>
                  <a:xfrm>
                    <a:off x="0" y="0"/>
                    <a:ext cx="5400000" cy="11430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87D"/>
    <w:rsid w:val="00224FC3"/>
    <w:rsid w:val="005A4D43"/>
    <w:rsid w:val="00676608"/>
    <w:rsid w:val="007C187D"/>
    <w:rsid w:val="00AA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7E04"/>
  <w15:docId w15:val="{0CECAF76-337E-4C2B-A112-A291E024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A789F"/>
    <w:pPr>
      <w:tabs>
        <w:tab w:val="center" w:pos="4680"/>
        <w:tab w:val="right" w:pos="9360"/>
      </w:tabs>
      <w:spacing w:line="240" w:lineRule="auto"/>
    </w:pPr>
  </w:style>
  <w:style w:type="character" w:customStyle="1" w:styleId="HeaderChar">
    <w:name w:val="Header Char"/>
    <w:basedOn w:val="DefaultParagraphFont"/>
    <w:link w:val="Header"/>
    <w:uiPriority w:val="99"/>
    <w:rsid w:val="00AA789F"/>
  </w:style>
  <w:style w:type="paragraph" w:styleId="Footer">
    <w:name w:val="footer"/>
    <w:basedOn w:val="Normal"/>
    <w:link w:val="FooterChar"/>
    <w:uiPriority w:val="99"/>
    <w:unhideWhenUsed/>
    <w:rsid w:val="00AA789F"/>
    <w:pPr>
      <w:tabs>
        <w:tab w:val="center" w:pos="4680"/>
        <w:tab w:val="right" w:pos="9360"/>
      </w:tabs>
      <w:spacing w:line="240" w:lineRule="auto"/>
    </w:pPr>
  </w:style>
  <w:style w:type="character" w:customStyle="1" w:styleId="FooterChar">
    <w:name w:val="Footer Char"/>
    <w:basedOn w:val="DefaultParagraphFont"/>
    <w:link w:val="Footer"/>
    <w:uiPriority w:val="99"/>
    <w:rsid w:val="00AA7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cholar.unair.ac.id/en/persons/m-syaiful-aris-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h.unair.ac.i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info news</cp:lastModifiedBy>
  <cp:revision>2</cp:revision>
  <dcterms:created xsi:type="dcterms:W3CDTF">2025-01-13T08:26:00Z</dcterms:created>
  <dcterms:modified xsi:type="dcterms:W3CDTF">2025-01-13T08:26:00Z</dcterms:modified>
</cp:coreProperties>
</file>